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53</w:t>
      </w:r>
    </w:p>
    <w:p>
      <w:r>
        <w:t>Bundesgericht (BGE), 2024-09-05, FR</w:t>
      </w:r>
    </w:p>
    <w:p>
      <w:r>
        <w:rPr>
          <w:b/>
        </w:rPr>
        <w:t xml:space="preserve">Quelle: </w:t>
      </w:r>
      <w:r>
        <w:t>https://mcp.opencaselaw.ch/entscheid/bge_151 III 53</w:t>
      </w:r>
    </w:p>
    <w:p>
      <w:r>
        <w:t>FR: ATF 151 III 53</w:t>
      </w:r>
    </w:p>
    <w:p>
      <w:r>
        <w:t>IT: DTF 151 III 53</w:t>
      </w:r>
    </w:p>
    <w:p>
      <w:pPr>
        <w:pStyle w:val="Heading2"/>
      </w:pPr>
      <w:r>
        <w:t>Regeste</w:t>
      </w:r>
    </w:p>
    <w:p>
      <w:r>
        <w:t>Regeste Internationale Schiedsgerichtsbarkeit in Sportangelegenheiten; materieller Ordre public (Art. 190 Abs. 2 lit. e IPRG); Disziplinarstrafe; junges Alter der Athletin. Die Tatsache, dass eine Sportlerin zum Zeitpunkt des (als vorsätzlich erkannten) Verstosses gegen die Anti-Doping-Bestimmungen erst 15 Jahre und 8 Monate alt war, rechtfertigt für sich allein nicht, sie weniger streng zu bestrafen als ältere Athleten. Kein Verstoss gegen den materiellen Ordre public im Sinne von Art. 190 Abs. 2 lit. e IPRG im zu beurteilenden Fall (E. 7).</w:t>
      </w:r>
    </w:p>
    <w:p>
      <w:pPr>
        <w:pStyle w:val="Heading2"/>
      </w:pPr>
      <w:r>
        <w:t>Erwägungen</w:t>
      </w:r>
    </w:p>
    <w:p>
      <w:r>
        <w:rPr>
          <w:b/>
        </w:rPr>
        <w:t>E. 7</w:t>
      </w:r>
    </w:p>
    <w:p>
      <w:r>
        <w:t>Dans un dernier moyen, la recourante soutient que la Formation aurait rendu une sentence incompatible avec l'ordre public matériel ( art. 190 al. 2 let . e LDIP [RS 291]). Avant d'examiner la recevabilité et, le cas échéant, le mérite des critiques formulées au soutien de ce moyen, il convient de rappeler ce que recouvre la notion d'ordre public matériel visée par la disposition susmentionnée.</w:t>
      </w:r>
    </w:p>
    <w:p>
      <w:r>
        <w:rPr>
          <w:b/>
        </w:rPr>
        <w:t>E. 7.1</w:t>
      </w:r>
    </w:p>
    <w:p>
      <w:r>
        <w:t>Une sentence est incompatible avec l'ordre public matériel si elle méconnaît les valeurs essentielles et largement reconnues qui, selon les conceptions prévalant en Suisse, devraient constituer le fondement de tout ordre juridique ( ATF 144 III 120 consid. 5.1; ATF 132 III 389 consid. 2.2.3). Tel est le cas lorsqu'elle viole des principes fondamentaux du droit de fond au point de ne plus être conciliable avec l'ordre juridique et le système de valeurs déterminants ( ATF 144 III 120 consid. 5.1). Qu'un motif retenu par un tribunal arbitral heurte l'ordre public n'est pas suffisant; c'est le résultat auquel la sentence aboutit qui doit être incompatible avec l'ordre public BGE 151 III 53 S. 58 ( ATF 144 III 120 consid. 5.1). L'incompatibilité de la sentence avec l'ordre public, visée à l' art. 190 al. 2 let . e LDIP, est une notion plus restrictive que celle d'arbitraire ( ATF 144 III 120 consid. 5.1; arrêts 4A_318/2018 du 4 mars 2019 consid. 4.3.1; 4A_600/2016 du 29 juin 2017 consid. 1.1.4). Pour juger si la sentence est compatible avec l'ordre public matériel, le Tribunal fédéral ne revoit pas à sa guise l'appréciation juridique à laquelle le tribunal arbitral s'est livré sur la base des faits constatés dans sa sentence. Seul importe, en effet, pour la décision à rendre sous l'angle de l' art. 190 al. 2 let . e LDIP, le point de savoir si le résultat de cette appréciation juridique faite souverainement par les arbitres est compatible ou non avec la définition jurisprudentielle de l'ordre public matériel (arrêt 4A_157/2017 du 14 décembre 2017 consid. 3.3.3).</w:t>
      </w:r>
    </w:p>
    <w:p>
      <w:r>
        <w:rPr>
          <w:b/>
        </w:rPr>
        <w:t>E. 7.2</w:t>
      </w:r>
    </w:p>
    <w:p>
      <w:r>
        <w:t>En matière de sanctions infligées dans le domaine du sport, le Tribunal fédéral n'intervient à l'égard des décisions rendues en vertu d'un pouvoir d'appréciation que si elles aboutissent à un résultat manifestement injuste ou à une iniquité choquante (arrêts 4A_318/2018, précité, consid. 4.5.2; 4A_600/2016, précité, consid. 3.7.2). Dans l'affaire Platini où elle a été amenée à examiner la sanction infligée à ce dernier sous l'angle déjà restreint du grief d'arbitraire au sens de l' art. 393 let . e CPC, la Cour de céans a relevé que seule la mise en évidence d'une ou de plusieurs violations crasses de leur pouvoir d'appréciation par les arbitres, qui plus est à l'origine d'une sanction excessivement sévère, pourrait justifier l'intervention du Tribunal fédéral (arrêt 4A_600/2016, précité, consid. 3.7.2). Le pouvoir d'examen de la Cour de céans est encore plus limité in casu , puisqu'il s'exerce dans le cadre du grief de contrariété à l'ordre public matériel, notion plus restrictive que celle d'arbitraire.</w:t>
      </w:r>
    </w:p>
    <w:p>
      <w:r>
        <w:rPr>
          <w:b/>
        </w:rPr>
        <w:t>E. 7.3</w:t>
      </w:r>
    </w:p>
    <w:p>
      <w:r>
        <w:t>Selon la recourante, la Formation aurait indûment refusé de tenir compte de son jeune âge et de son statut de personne protégée au regard du RAR et du CMA lors de la fixation de la sanction prononcée à son encontre. L'intéressée fait aussi valoir que, dans l'avis de droit qu'il avait rédigé en 2019 sur le projet de révision du CMA, Jean-Paul Costa, ancien président de la CourEDH, avait indiqué qu'une infraction à la réglementation antidopage commise par une personne protégée, tel un enfant, constituait un facteur atténuant. Elle estime ainsi qu'il est nécessaire de ne pas traiter les enfants de la même manière que les adultes en matière de lutte antidopage. Elle BGE 151 III 53 S. 59 relève en outre que de nombreux États ont adopté un système répressif opérant une distinction entre les prévenus majeurs et mineurs en matière pénale. La recourante critique ensuite l'interprétation donnée par les arbitres à certaines dispositions du RAR et soutient que le raisonnement tenu par la Formation est empreint de contradictions. En tout état de cause, elle estime que le fait de sanctionner une violation des règles antidopage commise par un enfant de la même manière que s'il s'agissait d'un adulte méconnaît la conception universelle selon laquelle les mineurs nécessitent une protection accrue exigeant un traitement différencié afin de tenir compte de leur responsabilité atténuée. La recourante insiste aussi sur le fait que la Formation n'a jamais conclu qu'elle était une tricheuse ni considéré qu'il était établi qu'elle avait enfreint intentionnellement le RAR. Elle rappelle également que la Formation a reconnu elle-même que la sanction infligée à une athlète âgée de 15 ans au moment de la violation des règles antidopage pouvait paraître sévère et disproportionnée.</w:t>
      </w:r>
    </w:p>
    <w:p>
      <w:r>
        <w:rPr>
          <w:b/>
        </w:rPr>
        <w:t>E. 7.4</w:t>
      </w:r>
    </w:p>
    <w:p>
      <w:r>
        <w:t>Force est de relever d'emblée le caractère appellatoire marqué de l'argumentation présentée par la recourante. Celle-ci consacre, en effet, de nombreux développements visant à critiquer la manière dont les arbitres ont interprété les dispositions du RAR applicables en l'espèce. Ce faisant, l'intéressée confond derechef le Tribunal fédéral avec une cour d'appel dans la mesure où elle cherche à entraîner la Cour de céans sur le terrain de l'application du droit matériel et à l'inciter à contrôler librement l'application faite par les arbitres des normes topiques du RAR. Une telle démarche est inadmissible. La recourante le reconnaît du reste elle-même, à demi-mots, puisqu'elle indique, dans son mémoire de recours, que la "question de savoir si les arbitres ont mal appliqué le règlement antidopage russe ou si celui-ci comporte une lacune qu'ils auraient dû combler peut rester ouverte". En réalité, la seule question à résoudre ici est celle de savoir si la Formation, au regard de l'ensemble des circonstances de la cause en litige, a méconnu ou non l'ordre public matériel en infligeant à la recourante une suspension d'une durée de quatre ans et en disqualifiant tous les résultats obtenus par elle depuis l'infraction commise. Une réponse positive à cette question exige que le résultat auquel la sentence attaquée a abouti, et non pas déjà les motifs qui sous-tendent celle-ci, soit incompatible avec l'ordre public, ce qui signifie que la sanction infligée doit être manifestement injuste dans son résultat ou conduire à une iniquité choquante. BGE 151 III 53 S. 60 Tel n'est clairement pas le cas ici. Les critiques formulées par la recourante, considérées à la lumière du pouvoir d'examen restreint dont jouit la Cour de céans, ne révèlent aucune contrariété à l'ordre public matériel. À la lecture de la sentence entreprise, il appert en effet que la Formation n'a négligé aucune circonstance pertinente et qu'elle a bel et bien tenu compte du jeune âge de l'athlète concernée (15 ans et 8 mois) au moment d'apprécier les faits qui lui étaient reprochés. À cet égard, la Formation a certes relevé que la recourante revêtait le statut de personne protégée, lequel commande, dans certaines circonstances particulières, mais pas toutes, de traiter différemment de telles personnes des autres sportifs. Elle a toutefois nié ici l'existence de telles circonstances particulières, raison pour laquelle elle a estimé qu'il ne se justifiait pas de prononcer une sanction moins sévère à l'encontre de la recourante. Sur ce point, la Formation a souligné que la réglementation antidopage applicable prévoit une suspension d'une durée de quatre ans - sans opérer de distinction aucune entre les personnes protégées et les autres athlètes - lorsque, comme en l'espèce, la violation des règles antidopage n'implique pas une substance spécifiée et que l'athlète ne parvient pas à établir que ladite violation n'était pas intentionnelle. Elle a également relevé, à juste titre, que l'intéressée ne contestait pas avoir commis une infraction à la réglementation antidopage. Il ressort en outre des constatations faites par les arbitres que la recourante, nonobstant son jeune âge, avait déjà pris part à plusieurs compétitions internationales de patinage artistique avant le contrôle antidopage qui s'est révélé positif et qu'elle était éduquée et consciente de ses obligations en matière de sécurité alimentaire. Il apparaît ainsi que l'athlète concernée était déjà expérimentée malgré son jeune âge. La recourante ne remet pas véritablement en cause les éléments retenus par les arbitres pour justifier la sanction prononcée par eux, mais se borne, en réalité, à affirmer que son statut de personne protégée commanderait de la punir moins sévèrement que d'autres sportifs placés dans les mêmes circonstances. Ce faisant, elle échoue manifestement à démontrer que la sanction qui lui a été infligée serait, vu sa durée, incompatible avec l'ordre public matériel, étant donné que la violation des règles antidopage est avérée et que l'intéressée n'a pas réussi à démontrer, au degré de preuve requis, que l'infraction à la réglementation antidopage n'était pas intentionnelle. Sur le plan des principes et de manière plus générale, on ne discerne pas pour quelle raison le jeune âge d'un sportif reconnu coupable BGE 151 III 53 S. 61 d'une infraction à la réglementation antidopage, réputée intentionnelle, commanderait nécessairement de le punir moins sévèrement qu'un athlète âgé de quelques années de plus que lui. Le fait d'infliger systématiquement des sanctions moins sévères à de jeunes athlètes, en raison uniquement de leur âge, pourrait se révéler contraire aux objectifs poursuivis en matière de lutte antidopage car les sanctions prononcées pourraient avoir un effet moins dissuasif et risqueraient d'inciter davantage de jeunes sportifs à avoir recours à des substances illicites pour améliorer leurs performances, avec les conséquences néfastes que peut entraîner l'usage de produits dopants sur leur santé. Il ne faut en outre pas perdre de vue que les règles antidopage et les sanctions y relatives visent à assurer une compétition loyale entre les divers athlètes. Or, l'objectif principal poursuivi en matière de lutte antidopage risquerait d'être mis à mal si, en présence d'une violation des règles antidopage réputée intentionnelle, on venait à sanctionner moins sévèrement les personnes protégées que les autres athlètes uniquement en raison de leur jeune âge. En l'espèce, la recourante qui, malgré son âge (15 ans et 8 mois) au moment des faits reprochés, était déjà expérimentée, étant donné qu'elle avait participé à diverses compétitions internationales de patinage artistique, n'avance aucune raison objective qui justifierait de lui réserver un traitement distinct de celui applicable aux autres sportives ni, a fortiori , n'établit que le résultat auquel a abouti la Formation serait incompatible avec l'ordre public matériel. Il s'ensuit le rejet du moyen considéré.</w:t>
      </w:r>
    </w:p>
    <w:p>
      <w:r>
        <w:rPr>
          <w:b/>
        </w:rPr>
        <w:t>E. 7.5</w:t>
      </w:r>
    </w:p>
    <w:p>
      <w:r>
        <w:t>L'intéressée fait enfin grief au TAS d'avoir procédé à une médiatisation excessive de cette affaire en publiant plusieurs communiqués de presse et de n'avoir ainsi pas préservé la confidentialité de la procédure impliquant une personne revêtant le statut de personne protégée. Semblable reproche tombe à faux. Selon l'art. 17.3.7 RAR, qui reprend les principes énoncés à l'art. 14.3.7 CMA, la divulgation d'une affaire impliquant une personne protégée est possible mais doit être proportionnée aux faits et aux circonstances du cas. En l'occurrence, force est d'admettre que le TAS était en droit de publier divers communiqués de presse, dans la mesure où la présente affaire avait défrayé la chronique lors des Jeux Olympiques de Pékin 2022 et où elle concernait une athlète qui jouissait déjà d'une grande notoriété à ce moment-là. La fédération intimée expose du reste dans sa BGE 151 III 53 S. 62 réponse, sans être véritablement contredite par la recourante, que la presse n'avait pas attendu les communiqués de presse du TAS pour relayer des informations à propos de la présente cause. Les critiques émises par la recourante sont ainsi impropres à démontrer une incompatibilité de la sentence attaquée avec l'ordre public matériel.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